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6D" w:rsidRDefault="00FB006D" w:rsidP="00FB006D">
      <w:pPr>
        <w:pStyle w:val="a7"/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  <w:u w:val="single"/>
        </w:rPr>
        <w:t>Приложение 15.</w:t>
      </w:r>
      <w:r>
        <w:rPr>
          <w:rFonts w:ascii="Arial" w:hAnsi="Arial"/>
          <w:sz w:val="24"/>
          <w:u w:val="single"/>
        </w:rPr>
        <w:t xml:space="preserve"> К выражению идеи нумерического тождества</w:t>
      </w:r>
    </w:p>
    <w:p w:rsidR="00FB006D" w:rsidRDefault="00FB006D" w:rsidP="00FB006D">
      <w:pPr>
        <w:pStyle w:val="a7"/>
        <w:tabs>
          <w:tab w:val="left" w:pos="8364"/>
        </w:tabs>
        <w:ind w:right="-680" w:firstLine="284"/>
        <w:jc w:val="both"/>
        <w:rPr>
          <w:i/>
          <w:sz w:val="24"/>
        </w:rPr>
      </w:pPr>
      <w:r>
        <w:rPr>
          <w:sz w:val="24"/>
        </w:rPr>
        <w:t>В русской философии всеединства, как уже отмечалось выше, не раз звучит тема так называемого «нумерического тождества» (тождества по числу). Например, Флоренский в приложенииях “Понятие тождества в схолатической философии” и “Понятие тождества в математической логике” к «Столпу и утверждению истины»</w:t>
      </w:r>
      <w:r>
        <w:rPr>
          <w:i/>
          <w:sz w:val="24"/>
        </w:rPr>
        <w:t xml:space="preserve"> напоминает существовавшее в схоластике деление на три вида тождества – по роду, виду и нумерическое тождество (по числу). Последнее тождество – самое сильное, оно требует ментальной предельности для своего определения. Разного рода “имманентные” направления отрицают этот вид тождества, пытаются свести его к первым двум видам.</w:t>
      </w:r>
    </w:p>
    <w:p w:rsidR="00FB006D" w:rsidRDefault="00FB006D" w:rsidP="00FB006D">
      <w:pPr>
        <w:pStyle w:val="a7"/>
        <w:tabs>
          <w:tab w:val="left" w:pos="8364"/>
        </w:tabs>
        <w:ind w:right="-680" w:firstLine="284"/>
        <w:jc w:val="both"/>
        <w:rPr>
          <w:i/>
          <w:sz w:val="24"/>
        </w:rPr>
      </w:pPr>
      <w:r>
        <w:rPr>
          <w:sz w:val="24"/>
        </w:rPr>
        <w:t xml:space="preserve"> Нумерическое тождество – это тождество такой предельной силы, что в нем отождествляемые начала оказываются абсолютно неразличимыми.</w:t>
      </w:r>
      <w:r>
        <w:rPr>
          <w:i/>
          <w:sz w:val="24"/>
        </w:rPr>
        <w:t xml:space="preserve"> Например, описывая триединую природу абсолютного, Флоренский использует сравнение сущности и ипостаси с предметом и его отражением – пример разности, выявляющейся только в сравнении, но исчезающей в самобытии сравниваемых элементов. Это пример, близко выражающий возможность нумерического тождества лиц Троицы при их неслиянности. Так Флоренский намечает пути к трансрациональной природе абсолютного, которая не может быть постигнута силами рассудка. Здесь нужен свободный подвиг и вера, утверждающая невозможное для рассудка. </w:t>
      </w:r>
    </w:p>
    <w:p w:rsidR="00FB006D" w:rsidRDefault="00FB006D" w:rsidP="00FB006D">
      <w:pPr>
        <w:pStyle w:val="a7"/>
        <w:tabs>
          <w:tab w:val="left" w:pos="8364"/>
        </w:tabs>
        <w:ind w:right="-680" w:firstLine="284"/>
        <w:jc w:val="both"/>
        <w:rPr>
          <w:i/>
          <w:sz w:val="24"/>
        </w:rPr>
      </w:pPr>
      <w:r>
        <w:rPr>
          <w:i/>
          <w:sz w:val="24"/>
        </w:rPr>
        <w:t xml:space="preserve">Только личности, считает Флоренский, способны к нумерическому тождеству, в то время как вещи обладают, самое большее, генерическим (признаковым) подобием. Личность, как и абсолютное, трансрациональна, выходит за рамки рассудочной объяснимости и обладает деятельным творчеством, в котором она способна преодолевать всякую данность, сохраняя совпадение с собой на уровне высшей формы тождества. Рациональная философия – это философия логики вещей (омиусианская), христианская философия – философия личности (омоусианская). Флоренский не раз использует идею нумерического тождества как предельной ментальной конструкции, требующей укоренённости в самотождестве сознания и абсолютного. Нумерическое тождество не может быть в этом случае рационально выражено, оно требует – как и любая трансрациональная сущность – условий выхода за пределы всякого понятия. “Можно лишь создать </w:t>
      </w:r>
      <w:r>
        <w:rPr>
          <w:b/>
          <w:i/>
          <w:sz w:val="24"/>
        </w:rPr>
        <w:t>символ</w:t>
      </w:r>
      <w:r>
        <w:rPr>
          <w:i/>
          <w:sz w:val="24"/>
        </w:rPr>
        <w:t xml:space="preserve"> коренной характеристики личности, или же </w:t>
      </w:r>
      <w:r>
        <w:rPr>
          <w:b/>
          <w:i/>
          <w:sz w:val="24"/>
        </w:rPr>
        <w:t>значёк, слово</w:t>
      </w:r>
      <w:r>
        <w:rPr>
          <w:i/>
          <w:sz w:val="24"/>
        </w:rPr>
        <w:t xml:space="preserve">, и, не определяя его, ввести </w:t>
      </w:r>
      <w:r>
        <w:rPr>
          <w:b/>
          <w:i/>
          <w:sz w:val="24"/>
        </w:rPr>
        <w:t>формально</w:t>
      </w:r>
      <w:r>
        <w:rPr>
          <w:i/>
          <w:sz w:val="24"/>
        </w:rPr>
        <w:t xml:space="preserve"> в систему других слов, и распорядиться так, чтобы оно подлежало общим операциям над символами, “как если бы” было в самом деле знаком </w:t>
      </w:r>
      <w:r>
        <w:rPr>
          <w:b/>
          <w:i/>
          <w:sz w:val="24"/>
        </w:rPr>
        <w:t>понятия</w:t>
      </w:r>
      <w:r>
        <w:rPr>
          <w:i/>
          <w:sz w:val="24"/>
        </w:rPr>
        <w:t xml:space="preserve">. Что же касается до </w:t>
      </w:r>
      <w:r>
        <w:rPr>
          <w:b/>
          <w:i/>
          <w:sz w:val="24"/>
        </w:rPr>
        <w:t xml:space="preserve">содержания </w:t>
      </w:r>
      <w:r>
        <w:rPr>
          <w:i/>
          <w:sz w:val="24"/>
        </w:rPr>
        <w:t xml:space="preserve">этого символа, то оно не может быть рассудочным, но – лишь непосредственно – переживанием в опыте само – творчества... Вот почему термин “нумерическое тождество” есть лишь символ, а не понятие” (IV, С. 83). </w:t>
      </w:r>
    </w:p>
    <w:p w:rsidR="00FB006D" w:rsidRDefault="00FB006D" w:rsidP="00FB006D">
      <w:pPr>
        <w:pStyle w:val="a7"/>
        <w:tabs>
          <w:tab w:val="left" w:pos="8364"/>
        </w:tabs>
        <w:ind w:right="-680" w:firstLine="284"/>
        <w:jc w:val="both"/>
        <w:rPr>
          <w:i/>
          <w:sz w:val="24"/>
        </w:rPr>
      </w:pPr>
      <w:r>
        <w:rPr>
          <w:i/>
          <w:sz w:val="24"/>
        </w:rPr>
        <w:t>Любовь – это нумерическое тождество двух, а весь мир представляет из себя иерархию Троиц-любовей, обладая структурой самоподобного целого.</w:t>
      </w:r>
    </w:p>
    <w:p w:rsidR="00FB006D" w:rsidRDefault="00FB006D" w:rsidP="00FB006D">
      <w:pPr>
        <w:ind w:right="-680" w:firstLine="284"/>
        <w:jc w:val="both"/>
        <w:rPr>
          <w:sz w:val="24"/>
        </w:rPr>
      </w:pPr>
      <w:r>
        <w:rPr>
          <w:sz w:val="24"/>
        </w:rPr>
        <w:t>Подобная же тема звучит в идее двух видов закона тождества – высшего и низшего. Низший закон тождества во многом предполагает только нумерическое (по времени) различие отождествляемых начал. Высший закон тождества отождествляет существенно разные начала и вплоть до нумерического их тождества в сущем-всеедином.</w:t>
      </w:r>
    </w:p>
    <w:p w:rsidR="00FB006D" w:rsidRDefault="00FB006D" w:rsidP="00FB006D">
      <w:pPr>
        <w:ind w:right="-680" w:firstLine="284"/>
        <w:jc w:val="both"/>
        <w:rPr>
          <w:sz w:val="24"/>
        </w:rPr>
      </w:pPr>
      <w:r>
        <w:rPr>
          <w:sz w:val="24"/>
        </w:rPr>
        <w:t xml:space="preserve">Попытаемся выразить эти идеи несколько более строго, используя конструкцию </w:t>
      </w:r>
      <w:r>
        <w:rPr>
          <w:sz w:val="24"/>
          <w:lang w:val="en-US"/>
        </w:rPr>
        <w:t>L</w:t>
      </w:r>
      <w:r>
        <w:rPr>
          <w:sz w:val="24"/>
        </w:rPr>
        <w:t xml:space="preserve">-противоречия (см. выше). Предположим, что </w:t>
      </w:r>
      <w:r>
        <w:rPr>
          <w:sz w:val="24"/>
          <w:u w:val="single"/>
        </w:rPr>
        <w:t>отношение тождества (=) – это отношение существенно условное</w:t>
      </w:r>
      <w:r>
        <w:rPr>
          <w:sz w:val="24"/>
        </w:rPr>
        <w:t>, т.е. всегда предполагающее для своего бытия ограничение некоторыми системами условий. Иллюстрацией подобного рода вывода является часто встречающееся в русской философии всеединства рассуждение о том, что если А=А, то уже тем самым предполагаемое отношением тождества расположение А слева и А справа позволяет с некоторой более “чувствительной” точки зрения различить эти А как разные начала. Тем самым происходит восхождение к более тонкому определению двух А, позволяющее различить их как некие различные Х (А слева) и У (А справа). В этом случае требования к тождеству усиливаются, и, если первое тождество обозначить как =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(0-тождество), то более </w:t>
      </w:r>
      <w:r>
        <w:rPr>
          <w:sz w:val="24"/>
        </w:rPr>
        <w:lastRenderedPageBreak/>
        <w:t>“чувствительное” тождество можно было бы обозначить как =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(1-тождество). В этом случае Х =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У, но Х </w:t>
      </w:r>
      <w:r>
        <w:rPr>
          <w:sz w:val="24"/>
          <w:lang w:val="en-US"/>
        </w:rPr>
        <w:sym w:font="Symbol" w:char="F0B9"/>
      </w:r>
      <w:r>
        <w:rPr>
          <w:sz w:val="24"/>
          <w:vertAlign w:val="subscript"/>
        </w:rPr>
        <w:t>1</w:t>
      </w:r>
      <w:r>
        <w:rPr>
          <w:sz w:val="24"/>
        </w:rPr>
        <w:t xml:space="preserve"> У (здесь Х</w:t>
      </w:r>
      <w:r>
        <w:rPr>
          <w:sz w:val="24"/>
          <w:lang w:val="en-US"/>
        </w:rPr>
        <w:sym w:font="Symbol" w:char="F0B9"/>
      </w:r>
      <w:r>
        <w:rPr>
          <w:sz w:val="24"/>
        </w:rPr>
        <w:t>У понимается как отрицание Х=У). Переходя на уровень 1-тождества, также можно было бы найти такие Х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У</w:t>
      </w:r>
      <w:r>
        <w:rPr>
          <w:sz w:val="24"/>
          <w:vertAlign w:val="subscript"/>
        </w:rPr>
        <w:t>1</w:t>
      </w:r>
      <w:r>
        <w:rPr>
          <w:sz w:val="24"/>
        </w:rPr>
        <w:t>, взяв области совпадения (в рамках требований 1-тождества) Х</w:t>
      </w:r>
      <w:r>
        <w:rPr>
          <w:sz w:val="24"/>
          <w:lang w:val="en-US"/>
        </w:rPr>
        <w:sym w:font="Symbol" w:char="F0D7"/>
      </w:r>
      <w:r>
        <w:rPr>
          <w:sz w:val="24"/>
        </w:rPr>
        <w:t xml:space="preserve">У для Х и У соотв., где </w:t>
      </w:r>
      <w:r>
        <w:rPr>
          <w:sz w:val="24"/>
          <w:lang w:val="en-US"/>
        </w:rPr>
        <w:sym w:font="Symbol" w:char="F0D7"/>
      </w:r>
      <w:r>
        <w:rPr>
          <w:sz w:val="24"/>
        </w:rPr>
        <w:t xml:space="preserve"> – булево умножение, так что и для более “чувствительного” тождества =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оказалось бы Х</w:t>
      </w:r>
      <w:r>
        <w:rPr>
          <w:sz w:val="24"/>
          <w:vertAlign w:val="subscript"/>
        </w:rPr>
        <w:t>1</w:t>
      </w:r>
      <w:r>
        <w:rPr>
          <w:sz w:val="24"/>
        </w:rPr>
        <w:t>=</w:t>
      </w:r>
      <w:r>
        <w:rPr>
          <w:sz w:val="24"/>
          <w:vertAlign w:val="subscript"/>
        </w:rPr>
        <w:t>1</w:t>
      </w:r>
      <w:r>
        <w:rPr>
          <w:sz w:val="24"/>
        </w:rPr>
        <w:t>У</w:t>
      </w:r>
      <w:r>
        <w:rPr>
          <w:sz w:val="24"/>
          <w:vertAlign w:val="subscript"/>
        </w:rPr>
        <w:t>1</w:t>
      </w:r>
      <w:r>
        <w:rPr>
          <w:sz w:val="24"/>
        </w:rPr>
        <w:t>. Однако, и в этом случае мы вновь могли бы увеличить степень “чувствительности” нашей различающей способности, введя еще более “чувствительное” тождество =</w:t>
      </w:r>
      <w:r>
        <w:rPr>
          <w:sz w:val="24"/>
          <w:vertAlign w:val="subscript"/>
        </w:rPr>
        <w:t>2</w:t>
      </w:r>
      <w:r>
        <w:rPr>
          <w:sz w:val="24"/>
        </w:rPr>
        <w:t>, где оказалось бы, что Х</w:t>
      </w:r>
      <w:r>
        <w:rPr>
          <w:sz w:val="24"/>
          <w:vertAlign w:val="subscript"/>
        </w:rPr>
        <w:t>1</w:t>
      </w:r>
      <w:r>
        <w:rPr>
          <w:sz w:val="24"/>
          <w:lang w:val="en-US"/>
        </w:rPr>
        <w:sym w:font="Symbol" w:char="F0B9"/>
      </w:r>
      <w:r>
        <w:rPr>
          <w:sz w:val="24"/>
          <w:vertAlign w:val="subscript"/>
        </w:rPr>
        <w:t>2</w:t>
      </w:r>
      <w:r>
        <w:rPr>
          <w:sz w:val="24"/>
        </w:rPr>
        <w:t>У</w:t>
      </w:r>
      <w:r>
        <w:rPr>
          <w:sz w:val="24"/>
          <w:vertAlign w:val="subscript"/>
        </w:rPr>
        <w:t>1</w:t>
      </w:r>
      <w:r>
        <w:rPr>
          <w:sz w:val="24"/>
        </w:rPr>
        <w:t xml:space="preserve">. И так этот процесс можно продолжать до бесконечности. Идея нумерического тождества оказывается связанной в этом случае с пределом данной бесконечности, выражая бесконечно “чувствительное” тождество, отождествляющее два начала до их исчезновения в друг друге. Для такого нумерического тождества более “чувствительным” тождеством окажется только оно само. </w:t>
      </w:r>
    </w:p>
    <w:p w:rsidR="003B7BA2" w:rsidRPr="00FB006D" w:rsidRDefault="00FB006D" w:rsidP="00FB006D">
      <w:r>
        <w:rPr>
          <w:sz w:val="24"/>
        </w:rPr>
        <w:t xml:space="preserve">Воспроизводя описанную модель более формально, получим для любого </w:t>
      </w:r>
      <w:r>
        <w:rPr>
          <w:sz w:val="24"/>
          <w:lang w:val="en-US"/>
        </w:rPr>
        <w:t>n</w:t>
      </w:r>
      <w:r>
        <w:rPr>
          <w:sz w:val="24"/>
        </w:rPr>
        <w:t>: Х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</w:t>
      </w:r>
      <w:r>
        <w:rPr>
          <w:sz w:val="24"/>
          <w:lang w:val="en-US"/>
        </w:rPr>
        <w:sym w:font="Symbol" w:char="F0B9"/>
      </w:r>
      <w:r>
        <w:rPr>
          <w:sz w:val="24"/>
          <w:vertAlign w:val="subscript"/>
        </w:rPr>
        <w:t>(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+1)</w:t>
      </w:r>
      <w:r>
        <w:rPr>
          <w:sz w:val="24"/>
        </w:rPr>
        <w:t xml:space="preserve"> У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и Х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</w:t>
      </w:r>
      <w:r>
        <w:rPr>
          <w:sz w:val="24"/>
        </w:rPr>
        <w:t>=</w:t>
      </w:r>
      <w:r>
        <w:rPr>
          <w:sz w:val="24"/>
          <w:vertAlign w:val="subscript"/>
        </w:rPr>
        <w:t>(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+1)</w:t>
      </w:r>
      <w:r>
        <w:rPr>
          <w:sz w:val="24"/>
        </w:rPr>
        <w:t>У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</w:t>
      </w:r>
      <w:r>
        <w:rPr>
          <w:sz w:val="24"/>
        </w:rPr>
        <w:t>. Допустим, что бесконечные последовательности {=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.75pt" o:ole="" fillcolor="window">
            <v:imagedata r:id="rId6" o:title=""/>
          </v:shape>
          <o:OLEObject Type="Embed" ProgID="Equation.3" ShapeID="_x0000_i1025" DrawAspect="Content" ObjectID="_1453494238" r:id="rId7"/>
        </w:object>
      </w:r>
      <w:r>
        <w:rPr>
          <w:sz w:val="24"/>
        </w:rPr>
        <w:t>, {Х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26" type="#_x0000_t75" style="width:30.75pt;height:33.75pt" o:ole="" fillcolor="window">
            <v:imagedata r:id="rId6" o:title=""/>
          </v:shape>
          <o:OLEObject Type="Embed" ProgID="Equation.3" ShapeID="_x0000_i1026" DrawAspect="Content" ObjectID="_1453494239" r:id="rId8"/>
        </w:object>
      </w:r>
      <w:r>
        <w:rPr>
          <w:sz w:val="24"/>
        </w:rPr>
        <w:t>, {У</w:t>
      </w:r>
      <w:r>
        <w:rPr>
          <w:sz w:val="24"/>
          <w:vertAlign w:val="subscript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27" type="#_x0000_t75" style="width:30.75pt;height:33.75pt" o:ole="" fillcolor="window">
            <v:imagedata r:id="rId6" o:title=""/>
          </v:shape>
          <o:OLEObject Type="Embed" ProgID="Equation.3" ShapeID="_x0000_i1027" DrawAspect="Content" ObjectID="_1453494240" r:id="rId9"/>
        </w:object>
      </w:r>
      <w:r>
        <w:rPr>
          <w:sz w:val="24"/>
        </w:rPr>
        <w:t xml:space="preserve"> имеют пределы. В этом случае мы можем образовать </w:t>
      </w:r>
      <w:r>
        <w:rPr>
          <w:sz w:val="24"/>
          <w:lang w:val="en-US"/>
        </w:rPr>
        <w:t>L</w:t>
      </w:r>
      <w:r>
        <w:rPr>
          <w:sz w:val="24"/>
        </w:rPr>
        <w:t>-противоречие [Х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 </w:t>
      </w:r>
      <w:r>
        <w:rPr>
          <w:sz w:val="24"/>
          <w:lang w:val="en-US"/>
        </w:rPr>
        <w:sym w:font="Symbol" w:char="F0B9"/>
      </w:r>
      <w:r>
        <w:rPr>
          <w:sz w:val="24"/>
          <w:vertAlign w:val="subscript"/>
        </w:rPr>
        <w:t xml:space="preserve"> (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+1)</w:t>
      </w:r>
      <w:r>
        <w:rPr>
          <w:sz w:val="24"/>
        </w:rPr>
        <w:t>У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 </w:t>
      </w:r>
      <w:r>
        <w:rPr>
          <w:sz w:val="24"/>
          <w:lang w:val="en-US"/>
        </w:rPr>
        <w:sym w:font="Symbol" w:char="F0D9"/>
      </w:r>
      <w:r>
        <w:rPr>
          <w:sz w:val="24"/>
        </w:rPr>
        <w:t xml:space="preserve"> Х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+1 </w:t>
      </w:r>
      <w:r>
        <w:rPr>
          <w:sz w:val="24"/>
        </w:rPr>
        <w:t>=</w:t>
      </w:r>
      <w:r>
        <w:rPr>
          <w:sz w:val="24"/>
          <w:vertAlign w:val="subscript"/>
        </w:rPr>
        <w:t xml:space="preserve"> (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+1) </w:t>
      </w:r>
      <w:r>
        <w:rPr>
          <w:sz w:val="24"/>
        </w:rPr>
        <w:t>У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</w:t>
      </w:r>
      <w:r>
        <w:rPr>
          <w:sz w:val="24"/>
        </w:rPr>
        <w:t>]</w:t>
      </w:r>
      <w:r>
        <w:rPr>
          <w:position w:val="-28"/>
          <w:sz w:val="24"/>
          <w:lang w:val="en-US"/>
        </w:rPr>
        <w:object w:dxaOrig="620" w:dyaOrig="680">
          <v:shape id="_x0000_i1028" type="#_x0000_t75" style="width:30.75pt;height:33.75pt" o:ole="" fillcolor="window">
            <v:imagedata r:id="rId6" o:title=""/>
          </v:shape>
          <o:OLEObject Type="Embed" ProgID="Equation.3" ShapeID="_x0000_i1028" DrawAspect="Content" ObjectID="_1453494241" r:id="rId10"/>
        </w:object>
      </w:r>
      <w:r>
        <w:rPr>
          <w:sz w:val="24"/>
        </w:rPr>
        <w:t xml:space="preserve">. Под нумерическим тождеством в этом случае можно понимать </w:t>
      </w:r>
      <w:r>
        <w:rPr>
          <w:sz w:val="24"/>
          <w:u w:val="single"/>
        </w:rPr>
        <w:t>предельную последовательность тождеств</w:t>
      </w:r>
      <w:r>
        <w:rPr>
          <w:sz w:val="24"/>
        </w:rPr>
        <w:t xml:space="preserve"> все более высокого уровня «чувствительности» {=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29" type="#_x0000_t75" style="width:30.75pt;height:33.75pt" o:ole="" fillcolor="window">
            <v:imagedata r:id="rId6" o:title=""/>
          </v:shape>
          <o:OLEObject Type="Embed" ProgID="Equation.3" ShapeID="_x0000_i1029" DrawAspect="Content" ObjectID="_1453494242" r:id="rId11"/>
        </w:object>
      </w:r>
      <w:r>
        <w:rPr>
          <w:sz w:val="24"/>
        </w:rPr>
        <w:t>, обозначая его как предельное тождество =</w:t>
      </w:r>
      <w:r>
        <w:rPr>
          <w:sz w:val="24"/>
          <w:vertAlign w:val="subscript"/>
          <w:lang w:val="en-US"/>
        </w:rPr>
        <w:t>L</w:t>
      </w:r>
      <w:r>
        <w:rPr>
          <w:sz w:val="24"/>
        </w:rPr>
        <w:t>. Здесь можно принять следующее правило о применении нумерического тождества для предельных последовательностей выражений {</w:t>
      </w: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30" type="#_x0000_t75" style="width:30.75pt;height:33.75pt" o:ole="" fillcolor="window">
            <v:imagedata r:id="rId6" o:title=""/>
          </v:shape>
          <o:OLEObject Type="Embed" ProgID="Equation.3" ShapeID="_x0000_i1030" DrawAspect="Content" ObjectID="_1453494243" r:id="rId12"/>
        </w:object>
      </w:r>
      <w:r>
        <w:rPr>
          <w:sz w:val="24"/>
        </w:rPr>
        <w:t xml:space="preserve"> и {</w:t>
      </w:r>
      <w:r>
        <w:rPr>
          <w:sz w:val="24"/>
          <w:lang w:val="en-US"/>
        </w:rPr>
        <w:t>B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31" type="#_x0000_t75" style="width:30.75pt;height:33.75pt" o:ole="" fillcolor="window">
            <v:imagedata r:id="rId6" o:title=""/>
          </v:shape>
          <o:OLEObject Type="Embed" ProgID="Equation.3" ShapeID="_x0000_i1031" DrawAspect="Content" ObjectID="_1453494244" r:id="rId13"/>
        </w:object>
      </w:r>
      <w:r>
        <w:rPr>
          <w:sz w:val="24"/>
        </w:rPr>
        <w:t>:  ({</w:t>
      </w: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32" type="#_x0000_t75" style="width:30.75pt;height:33.75pt" o:ole="" fillcolor="window">
            <v:imagedata r:id="rId6" o:title=""/>
          </v:shape>
          <o:OLEObject Type="Embed" ProgID="Equation.3" ShapeID="_x0000_i1032" DrawAspect="Content" ObjectID="_1453494245" r:id="rId14"/>
        </w:object>
      </w:r>
      <w:r>
        <w:rPr>
          <w:sz w:val="24"/>
        </w:rPr>
        <w:t xml:space="preserve"> =</w:t>
      </w:r>
      <w:r>
        <w:rPr>
          <w:sz w:val="24"/>
          <w:vertAlign w:val="subscript"/>
          <w:lang w:val="en-US"/>
        </w:rPr>
        <w:t>L</w:t>
      </w:r>
      <w:r>
        <w:rPr>
          <w:sz w:val="24"/>
        </w:rPr>
        <w:t xml:space="preserve"> {</w:t>
      </w:r>
      <w:r>
        <w:rPr>
          <w:sz w:val="24"/>
          <w:lang w:val="en-US"/>
        </w:rPr>
        <w:t>B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33" type="#_x0000_t75" style="width:30.75pt;height:33.75pt" o:ole="" fillcolor="window">
            <v:imagedata r:id="rId6" o:title=""/>
          </v:shape>
          <o:OLEObject Type="Embed" ProgID="Equation.3" ShapeID="_x0000_i1033" DrawAspect="Content" ObjectID="_1453494246" r:id="rId15"/>
        </w:object>
      </w:r>
      <w:r>
        <w:rPr>
          <w:sz w:val="24"/>
        </w:rPr>
        <w:t>) = ({</w:t>
      </w: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34" type="#_x0000_t75" style="width:30.75pt;height:33.75pt" o:ole="" fillcolor="window">
            <v:imagedata r:id="rId6" o:title=""/>
          </v:shape>
          <o:OLEObject Type="Embed" ProgID="Equation.3" ShapeID="_x0000_i1034" DrawAspect="Content" ObjectID="_1453494247" r:id="rId16"/>
        </w:object>
      </w:r>
      <w:r>
        <w:rPr>
          <w:sz w:val="24"/>
        </w:rPr>
        <w:t xml:space="preserve"> {=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35" type="#_x0000_t75" style="width:30.75pt;height:33.75pt" o:ole="" fillcolor="window">
            <v:imagedata r:id="rId6" o:title=""/>
          </v:shape>
          <o:OLEObject Type="Embed" ProgID="Equation.3" ShapeID="_x0000_i1035" DrawAspect="Content" ObjectID="_1453494248" r:id="rId17"/>
        </w:object>
      </w:r>
      <w:r>
        <w:rPr>
          <w:sz w:val="24"/>
        </w:rPr>
        <w:t xml:space="preserve"> {</w:t>
      </w:r>
      <w:r>
        <w:rPr>
          <w:sz w:val="24"/>
          <w:lang w:val="en-US"/>
        </w:rPr>
        <w:t>B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36" type="#_x0000_t75" style="width:30.75pt;height:33.75pt" o:ole="" fillcolor="window">
            <v:imagedata r:id="rId6" o:title=""/>
          </v:shape>
          <o:OLEObject Type="Embed" ProgID="Equation.3" ShapeID="_x0000_i1036" DrawAspect="Content" ObjectID="_1453494249" r:id="rId18"/>
        </w:object>
      </w:r>
      <w:r>
        <w:rPr>
          <w:sz w:val="24"/>
        </w:rPr>
        <w:t>) = {</w:t>
      </w: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=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 </w:t>
      </w:r>
      <w:r>
        <w:rPr>
          <w:sz w:val="24"/>
          <w:lang w:val="en-US"/>
        </w:rPr>
        <w:t>B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37" type="#_x0000_t75" style="width:30.75pt;height:33.75pt" o:ole="" fillcolor="window">
            <v:imagedata r:id="rId6" o:title=""/>
          </v:shape>
          <o:OLEObject Type="Embed" ProgID="Equation.3" ShapeID="_x0000_i1037" DrawAspect="Content" ObjectID="_1453494250" r:id="rId19"/>
        </w:object>
      </w:r>
      <w:r>
        <w:rPr>
          <w:sz w:val="24"/>
        </w:rPr>
        <w:t xml:space="preserve">. Предельные последовательности формул, содержащие нумерическое тождество, можно расценивать как вид высказываний о нумерическом тождестве. Например, указанное выше </w:t>
      </w:r>
      <w:r>
        <w:rPr>
          <w:sz w:val="24"/>
          <w:lang w:val="en-US"/>
        </w:rPr>
        <w:t>L</w:t>
      </w:r>
      <w:r>
        <w:rPr>
          <w:sz w:val="24"/>
        </w:rPr>
        <w:t>-противоречие [Х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 </w:t>
      </w:r>
      <w:r>
        <w:rPr>
          <w:sz w:val="24"/>
          <w:lang w:val="en-US"/>
        </w:rPr>
        <w:sym w:font="Symbol" w:char="F0B9"/>
      </w:r>
      <w:r>
        <w:rPr>
          <w:sz w:val="24"/>
          <w:vertAlign w:val="subscript"/>
        </w:rPr>
        <w:t xml:space="preserve"> (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+1)</w:t>
      </w:r>
      <w:r>
        <w:rPr>
          <w:sz w:val="24"/>
        </w:rPr>
        <w:t>У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 </w:t>
      </w:r>
      <w:r>
        <w:rPr>
          <w:sz w:val="24"/>
          <w:lang w:val="en-US"/>
        </w:rPr>
        <w:sym w:font="Symbol" w:char="F0D9"/>
      </w:r>
      <w:r>
        <w:rPr>
          <w:sz w:val="24"/>
        </w:rPr>
        <w:t xml:space="preserve"> Х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+1 </w:t>
      </w:r>
      <w:r>
        <w:rPr>
          <w:sz w:val="24"/>
        </w:rPr>
        <w:t>=</w:t>
      </w:r>
      <w:r>
        <w:rPr>
          <w:sz w:val="24"/>
          <w:vertAlign w:val="subscript"/>
        </w:rPr>
        <w:t xml:space="preserve"> (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+1) </w:t>
      </w:r>
      <w:r>
        <w:rPr>
          <w:sz w:val="24"/>
        </w:rPr>
        <w:t>У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</w:t>
      </w:r>
      <w:r>
        <w:rPr>
          <w:sz w:val="24"/>
        </w:rPr>
        <w:t>]</w:t>
      </w:r>
      <w:r>
        <w:rPr>
          <w:position w:val="-28"/>
          <w:sz w:val="24"/>
          <w:lang w:val="en-US"/>
        </w:rPr>
        <w:object w:dxaOrig="620" w:dyaOrig="680">
          <v:shape id="_x0000_i1038" type="#_x0000_t75" style="width:30.75pt;height:33.75pt" o:ole="" fillcolor="window">
            <v:imagedata r:id="rId6" o:title=""/>
          </v:shape>
          <o:OLEObject Type="Embed" ProgID="Equation.3" ShapeID="_x0000_i1038" DrawAspect="Content" ObjectID="_1453494251" r:id="rId20"/>
        </w:object>
      </w:r>
      <w:r>
        <w:rPr>
          <w:sz w:val="24"/>
        </w:rPr>
        <w:t xml:space="preserve"> можно интерпретировать как антиномию “объекты тождественны и различны между собой”, выражая тем самым отмеченный в русской философии всеединства антиномический характер нумерического тождества. Так как Х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 </w:t>
      </w:r>
      <w:r>
        <w:rPr>
          <w:sz w:val="24"/>
          <w:lang w:val="en-US"/>
        </w:rPr>
        <w:sym w:font="Symbol" w:char="F0B9"/>
      </w:r>
      <w:r>
        <w:rPr>
          <w:sz w:val="24"/>
          <w:vertAlign w:val="subscript"/>
        </w:rPr>
        <w:t xml:space="preserve"> (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+1)</w:t>
      </w:r>
      <w:r>
        <w:rPr>
          <w:sz w:val="24"/>
        </w:rPr>
        <w:t>У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тогда и только тогда, когда Х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 </w:t>
      </w:r>
      <w:r>
        <w:rPr>
          <w:sz w:val="24"/>
        </w:rPr>
        <w:t>=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 </w:t>
      </w:r>
      <w:r>
        <w:rPr>
          <w:sz w:val="24"/>
        </w:rPr>
        <w:t>У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, то указанное </w:t>
      </w:r>
      <w:r>
        <w:rPr>
          <w:sz w:val="24"/>
          <w:lang w:val="en-US"/>
        </w:rPr>
        <w:t>L</w:t>
      </w:r>
      <w:r>
        <w:rPr>
          <w:sz w:val="24"/>
        </w:rPr>
        <w:t>-противоречие может быть представлено следующим равносильным предельным высказыванием: [Х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 </w:t>
      </w:r>
      <w:r>
        <w:rPr>
          <w:sz w:val="24"/>
        </w:rPr>
        <w:t>=</w:t>
      </w:r>
      <w:r>
        <w:rPr>
          <w:sz w:val="24"/>
          <w:vertAlign w:val="subscript"/>
        </w:rPr>
        <w:t xml:space="preserve"> 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У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 </w:t>
      </w:r>
      <w:r>
        <w:rPr>
          <w:sz w:val="24"/>
          <w:lang w:val="en-US"/>
        </w:rPr>
        <w:sym w:font="Symbol" w:char="F0D9"/>
      </w:r>
      <w:r>
        <w:rPr>
          <w:sz w:val="24"/>
        </w:rPr>
        <w:t xml:space="preserve"> Х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+1 </w:t>
      </w:r>
      <w:r>
        <w:rPr>
          <w:sz w:val="24"/>
        </w:rPr>
        <w:t>=</w:t>
      </w:r>
      <w:r>
        <w:rPr>
          <w:sz w:val="24"/>
          <w:vertAlign w:val="subscript"/>
        </w:rPr>
        <w:t xml:space="preserve"> (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+1)</w:t>
      </w:r>
      <w:r>
        <w:rPr>
          <w:sz w:val="24"/>
        </w:rPr>
        <w:t>У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</w:t>
      </w:r>
      <w:r>
        <w:rPr>
          <w:sz w:val="24"/>
        </w:rPr>
        <w:t>]</w:t>
      </w:r>
      <w:r>
        <w:rPr>
          <w:position w:val="-28"/>
          <w:sz w:val="24"/>
          <w:lang w:val="en-US"/>
        </w:rPr>
        <w:object w:dxaOrig="620" w:dyaOrig="680">
          <v:shape id="_x0000_i1039" type="#_x0000_t75" style="width:30.75pt;height:33.75pt" o:ole="" fillcolor="window">
            <v:imagedata r:id="rId6" o:title=""/>
          </v:shape>
          <o:OLEObject Type="Embed" ProgID="Equation.3" ShapeID="_x0000_i1039" DrawAspect="Content" ObjectID="_1453494252" r:id="rId21"/>
        </w:object>
      </w:r>
      <w:r>
        <w:rPr>
          <w:sz w:val="24"/>
        </w:rPr>
        <w:t xml:space="preserve">. Если через </w:t>
      </w:r>
      <w:r>
        <w:rPr>
          <w:sz w:val="24"/>
          <w:lang w:val="en-US"/>
        </w:rPr>
        <w:t>D</w:t>
      </w:r>
      <w:r>
        <w:rPr>
          <w:sz w:val="24"/>
        </w:rPr>
        <w:t xml:space="preserve"> обозначить оператор перехода к более высокому уровню «чувствительности», то для обычных тождеств =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получим: </w:t>
      </w:r>
      <w:r>
        <w:rPr>
          <w:sz w:val="24"/>
          <w:lang w:val="en-US"/>
        </w:rPr>
        <w:t>D</w:t>
      </w:r>
      <w:r>
        <w:rPr>
          <w:sz w:val="24"/>
        </w:rPr>
        <w:t>(=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) = (=</w:t>
      </w:r>
      <w:r>
        <w:rPr>
          <w:sz w:val="24"/>
          <w:vertAlign w:val="subscript"/>
        </w:rPr>
        <w:t>(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+1)</w:t>
      </w:r>
      <w:r>
        <w:rPr>
          <w:sz w:val="24"/>
        </w:rPr>
        <w:t xml:space="preserve">), в то время как для нумерического тождества естественно этот оператор определить в следующем виде: </w:t>
      </w:r>
      <w:r>
        <w:rPr>
          <w:sz w:val="24"/>
          <w:lang w:val="en-US"/>
        </w:rPr>
        <w:t>D</w:t>
      </w:r>
      <w:r>
        <w:rPr>
          <w:sz w:val="24"/>
        </w:rPr>
        <w:t>{=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40" type="#_x0000_t75" style="width:30.75pt;height:33.75pt" o:ole="" fillcolor="window">
            <v:imagedata r:id="rId6" o:title=""/>
          </v:shape>
          <o:OLEObject Type="Embed" ProgID="Equation.3" ShapeID="_x0000_i1040" DrawAspect="Content" ObjectID="_1453494253" r:id="rId22"/>
        </w:object>
      </w:r>
      <w:r>
        <w:rPr>
          <w:sz w:val="24"/>
        </w:rPr>
        <w:t xml:space="preserve"> = {</w:t>
      </w:r>
      <w:r>
        <w:rPr>
          <w:sz w:val="24"/>
          <w:lang w:val="en-US"/>
        </w:rPr>
        <w:t>D</w:t>
      </w:r>
      <w:r>
        <w:rPr>
          <w:sz w:val="24"/>
        </w:rPr>
        <w:t>(=</w:t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>)}</w:t>
      </w:r>
      <w:r>
        <w:rPr>
          <w:position w:val="-28"/>
          <w:sz w:val="24"/>
          <w:lang w:val="en-US"/>
        </w:rPr>
        <w:object w:dxaOrig="620" w:dyaOrig="680">
          <v:shape id="_x0000_i1041" type="#_x0000_t75" style="width:30.75pt;height:33.75pt" o:ole="" fillcolor="window">
            <v:imagedata r:id="rId6" o:title=""/>
          </v:shape>
          <o:OLEObject Type="Embed" ProgID="Equation.3" ShapeID="_x0000_i1041" DrawAspect="Content" ObjectID="_1453494254" r:id="rId23"/>
        </w:object>
      </w:r>
      <w:r>
        <w:rPr>
          <w:sz w:val="24"/>
        </w:rPr>
        <w:t xml:space="preserve"> = {=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+1</w:t>
      </w:r>
      <w:r>
        <w:rPr>
          <w:sz w:val="24"/>
        </w:rPr>
        <w:t>}</w:t>
      </w:r>
      <w:r>
        <w:rPr>
          <w:position w:val="-28"/>
          <w:sz w:val="24"/>
          <w:lang w:val="en-US"/>
        </w:rPr>
        <w:object w:dxaOrig="620" w:dyaOrig="680">
          <v:shape id="_x0000_i1042" type="#_x0000_t75" style="width:30.75pt;height:33.75pt" o:ole="" fillcolor="window">
            <v:imagedata r:id="rId6" o:title=""/>
          </v:shape>
          <o:OLEObject Type="Embed" ProgID="Equation.3" ShapeID="_x0000_i1042" DrawAspect="Content" ObjectID="_1453494255" r:id="rId24"/>
        </w:object>
      </w:r>
      <w:r>
        <w:rPr>
          <w:sz w:val="24"/>
        </w:rPr>
        <w:t xml:space="preserve">, что также является нумерическим тождеством. Таким образом, если для любого конечного тождества оператор </w:t>
      </w:r>
      <w:r>
        <w:rPr>
          <w:sz w:val="24"/>
          <w:lang w:val="en-US"/>
        </w:rPr>
        <w:t>D</w:t>
      </w:r>
      <w:r>
        <w:rPr>
          <w:sz w:val="24"/>
        </w:rPr>
        <w:t xml:space="preserve"> позволяет выйти за рамки этого тождества, обнаруживая ограниченность осуществляемого им отождествления, то для нумерического тождества более «чувствительным» тождеством оказывается оно само, что выражает предельный характер проводимого в данном случае отождествления – отождествления вплоть до исчезновения друг в друге.</w:t>
      </w:r>
      <w:bookmarkStart w:id="0" w:name="_GoBack"/>
      <w:bookmarkEnd w:id="0"/>
    </w:p>
    <w:sectPr w:rsidR="003B7BA2" w:rsidRPr="00FB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5BD"/>
    <w:multiLevelType w:val="singleLevel"/>
    <w:tmpl w:val="F4F624FC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DAD1BB7"/>
    <w:multiLevelType w:val="singleLevel"/>
    <w:tmpl w:val="C590A0E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568C7198"/>
    <w:multiLevelType w:val="singleLevel"/>
    <w:tmpl w:val="2CDA349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5A8A38B8"/>
    <w:multiLevelType w:val="singleLevel"/>
    <w:tmpl w:val="318A0A2E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75B1502B"/>
    <w:multiLevelType w:val="singleLevel"/>
    <w:tmpl w:val="A802DB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2"/>
    <w:rsid w:val="00012420"/>
    <w:rsid w:val="001526F3"/>
    <w:rsid w:val="003B7BA2"/>
    <w:rsid w:val="005A207A"/>
    <w:rsid w:val="006D061A"/>
    <w:rsid w:val="00D85E82"/>
    <w:rsid w:val="00DB5C3B"/>
    <w:rsid w:val="00FB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85E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85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сновной текст 4"/>
    <w:basedOn w:val="a3"/>
    <w:rsid w:val="00D85E82"/>
  </w:style>
  <w:style w:type="paragraph" w:styleId="a5">
    <w:name w:val="Plain Text"/>
    <w:basedOn w:val="a"/>
    <w:link w:val="a6"/>
    <w:semiHidden/>
    <w:rsid w:val="00D85E82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D85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FB006D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B00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85E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85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сновной текст 4"/>
    <w:basedOn w:val="a3"/>
    <w:rsid w:val="00D85E82"/>
  </w:style>
  <w:style w:type="paragraph" w:styleId="a5">
    <w:name w:val="Plain Text"/>
    <w:basedOn w:val="a"/>
    <w:link w:val="a6"/>
    <w:semiHidden/>
    <w:rsid w:val="00D85E82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D85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FB006D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B00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В.Моисеев</dc:creator>
  <cp:lastModifiedBy>Я</cp:lastModifiedBy>
  <cp:revision>2</cp:revision>
  <dcterms:created xsi:type="dcterms:W3CDTF">2014-02-09T19:36:00Z</dcterms:created>
  <dcterms:modified xsi:type="dcterms:W3CDTF">2014-02-09T19:36:00Z</dcterms:modified>
</cp:coreProperties>
</file>